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CB9C" w14:textId="064D2E69" w:rsidR="00301B3F" w:rsidRDefault="004D5E5F">
      <w:pPr>
        <w:spacing w:after="40"/>
      </w:pPr>
      <w:r>
        <w:rPr>
          <w:rFonts w:ascii="Arial" w:eastAsia="Arial" w:hAnsi="Arial" w:cs="Arial"/>
          <w:b/>
          <w:bCs/>
          <w:color w:val="1B3A5C"/>
          <w:sz w:val="26"/>
          <w:szCs w:val="26"/>
        </w:rPr>
        <w:t>ROISIN Éric</w:t>
      </w:r>
      <w:r w:rsidR="007631C3">
        <w:rPr>
          <w:rFonts w:ascii="Arial" w:eastAsia="Arial" w:hAnsi="Arial" w:cs="Arial"/>
          <w:b/>
          <w:bCs/>
          <w:color w:val="1B3A5C"/>
          <w:sz w:val="26"/>
          <w:szCs w:val="26"/>
        </w:rPr>
        <w:t xml:space="preserve"> agriculteur</w:t>
      </w:r>
    </w:p>
    <w:p w14:paraId="150AF4B8" w14:textId="1E137CC3" w:rsidR="00301B3F" w:rsidRDefault="007631C3">
      <w:pPr>
        <w:spacing w:after="40"/>
      </w:pPr>
      <w:r>
        <w:rPr>
          <w:rFonts w:ascii="Arial" w:eastAsia="Arial" w:hAnsi="Arial" w:cs="Arial"/>
          <w:color w:val="666666"/>
          <w:sz w:val="20"/>
          <w:szCs w:val="20"/>
        </w:rPr>
        <w:t>Exploitation : 23, rue de la Roquette</w:t>
      </w:r>
    </w:p>
    <w:p w14:paraId="605AF089" w14:textId="20E77C33" w:rsidR="00301B3F" w:rsidRDefault="007631C3">
      <w:pPr>
        <w:pBdr>
          <w:bottom w:val="single" w:sz="6" w:space="0" w:color="1B3A5C"/>
        </w:pBdr>
        <w:spacing w:after="200"/>
      </w:pPr>
      <w:r>
        <w:rPr>
          <w:rFonts w:ascii="Arial" w:eastAsia="Arial" w:hAnsi="Arial" w:cs="Arial"/>
          <w:color w:val="666666"/>
          <w:sz w:val="20"/>
          <w:szCs w:val="20"/>
        </w:rPr>
        <w:t xml:space="preserve">                     6532</w:t>
      </w:r>
      <w:r w:rsidR="004D5E5F">
        <w:rPr>
          <w:rFonts w:ascii="Arial" w:eastAsia="Arial" w:hAnsi="Arial" w:cs="Arial"/>
          <w:color w:val="666666"/>
          <w:sz w:val="20"/>
          <w:szCs w:val="20"/>
        </w:rPr>
        <w:t xml:space="preserve"> </w:t>
      </w:r>
      <w:proofErr w:type="spellStart"/>
      <w:r w:rsidR="004D5E5F">
        <w:rPr>
          <w:rFonts w:ascii="Arial" w:eastAsia="Arial" w:hAnsi="Arial" w:cs="Arial"/>
          <w:color w:val="666666"/>
          <w:sz w:val="20"/>
          <w:szCs w:val="20"/>
        </w:rPr>
        <w:t>Ragnies</w:t>
      </w:r>
      <w:proofErr w:type="spellEnd"/>
    </w:p>
    <w:p w14:paraId="1BCAB2BB" w14:textId="77777777" w:rsidR="00301B3F" w:rsidRDefault="00301B3F">
      <w:pPr>
        <w:spacing w:before="60" w:after="60"/>
      </w:pPr>
    </w:p>
    <w:p w14:paraId="4A37662E" w14:textId="0D541CBF" w:rsidR="00301B3F" w:rsidRDefault="002E7C15">
      <w:pPr>
        <w:spacing w:after="40"/>
        <w:jc w:val="right"/>
      </w:pPr>
      <w:r>
        <w:rPr>
          <w:sz w:val="21"/>
          <w:szCs w:val="21"/>
        </w:rPr>
        <w:t>Thuin, le 02 mai 2026</w:t>
      </w:r>
    </w:p>
    <w:p w14:paraId="4A57E008" w14:textId="77777777" w:rsidR="00301B3F" w:rsidRDefault="004D5E5F">
      <w:pPr>
        <w:spacing w:after="200"/>
        <w:jc w:val="right"/>
      </w:pPr>
      <w:r>
        <w:rPr>
          <w:b/>
          <w:bCs/>
          <w:color w:val="1B3A5C"/>
          <w:sz w:val="21"/>
          <w:szCs w:val="21"/>
        </w:rPr>
        <w:t>Réf. : OBS/2026/BEL012622.02</w:t>
      </w:r>
    </w:p>
    <w:p w14:paraId="283A6D46" w14:textId="77777777" w:rsidR="00301B3F" w:rsidRDefault="004D5E5F">
      <w:pPr>
        <w:spacing w:before="80" w:after="40"/>
      </w:pPr>
      <w:r>
        <w:rPr>
          <w:b/>
          <w:bCs/>
        </w:rPr>
        <w:t>À Madame la Bourgmestre de Thuin</w:t>
      </w:r>
    </w:p>
    <w:p w14:paraId="647ECC27" w14:textId="77777777" w:rsidR="00301B3F" w:rsidRDefault="004D5E5F">
      <w:pPr>
        <w:spacing w:after="40"/>
      </w:pPr>
      <w:r>
        <w:t>Grand-Place 2 — 6530 Thuin</w:t>
      </w:r>
    </w:p>
    <w:p w14:paraId="6F6AD712" w14:textId="77777777" w:rsidR="00301B3F" w:rsidRDefault="004D5E5F">
      <w:pPr>
        <w:spacing w:after="200"/>
      </w:pPr>
      <w:r>
        <w:t xml:space="preserve">Et à M. le Fonctionnaire </w:t>
      </w:r>
      <w:r>
        <w:t>Délégué, SPW TLPE — Direction du Hainaut</w:t>
      </w:r>
    </w:p>
    <w:p w14:paraId="70C9C4BF" w14:textId="77777777" w:rsidR="00301B3F" w:rsidRDefault="004D5E5F">
      <w:pPr>
        <w:spacing w:before="120" w:after="80"/>
      </w:pPr>
      <w:r>
        <w:rPr>
          <w:b/>
          <w:bCs/>
          <w:color w:val="1B3A5C"/>
        </w:rPr>
        <w:t xml:space="preserve">Objet : </w:t>
      </w:r>
      <w:r>
        <w:t xml:space="preserve">Observation dans le cadre de l'enquête publique — Demande de permis unique n° BEL012622.02 — Parc éolien </w:t>
      </w:r>
      <w:proofErr w:type="spellStart"/>
      <w:r>
        <w:t>Ragnies</w:t>
      </w:r>
      <w:proofErr w:type="spellEnd"/>
      <w:r>
        <w:t xml:space="preserve"> 2 (</w:t>
      </w:r>
      <w:proofErr w:type="spellStart"/>
      <w:r>
        <w:t>Elawan</w:t>
      </w:r>
      <w:proofErr w:type="spellEnd"/>
      <w:r>
        <w:t xml:space="preserve"> </w:t>
      </w:r>
      <w:proofErr w:type="spellStart"/>
      <w:r>
        <w:t>Energy</w:t>
      </w:r>
      <w:proofErr w:type="spellEnd"/>
      <w:r>
        <w:t xml:space="preserve"> Wallonie SA) — 4 éoliennes de 200m à </w:t>
      </w:r>
      <w:proofErr w:type="spellStart"/>
      <w:r>
        <w:t>Ragnies</w:t>
      </w:r>
      <w:proofErr w:type="spellEnd"/>
      <w:r>
        <w:t xml:space="preserve">, </w:t>
      </w:r>
      <w:proofErr w:type="spellStart"/>
      <w:r>
        <w:t>Thuillies</w:t>
      </w:r>
      <w:proofErr w:type="spellEnd"/>
      <w:r>
        <w:t xml:space="preserve"> et </w:t>
      </w:r>
      <w:proofErr w:type="spellStart"/>
      <w:r>
        <w:t>Donstiennes</w:t>
      </w:r>
      <w:proofErr w:type="spellEnd"/>
      <w:r>
        <w:t xml:space="preserve"> (commu</w:t>
      </w:r>
      <w:r>
        <w:t>ne de Thuin).</w:t>
      </w:r>
    </w:p>
    <w:p w14:paraId="078DD34B" w14:textId="77777777" w:rsidR="00301B3F" w:rsidRDefault="00301B3F">
      <w:pPr>
        <w:spacing w:before="60" w:after="60"/>
      </w:pPr>
    </w:p>
    <w:p w14:paraId="66EF9A1E" w14:textId="77777777" w:rsidR="00301B3F" w:rsidRDefault="004D5E5F">
      <w:pPr>
        <w:spacing w:before="60" w:after="80"/>
        <w:jc w:val="both"/>
      </w:pPr>
      <w:r>
        <w:t>Madame la Bourgmestre, Mesdames et Messieurs les Échevins,</w:t>
      </w:r>
    </w:p>
    <w:p w14:paraId="10F861BE" w14:textId="77777777" w:rsidR="00301B3F" w:rsidRDefault="004D5E5F">
      <w:pPr>
        <w:pBdr>
          <w:left w:val="single" w:sz="10" w:space="0" w:color="2D5A1B"/>
        </w:pBdr>
        <w:shd w:val="clear" w:color="auto" w:fill="EEF5E8"/>
        <w:spacing w:before="80" w:after="80"/>
        <w:ind w:left="300"/>
      </w:pPr>
      <w:r>
        <w:rPr>
          <w:i/>
          <w:iCs/>
          <w:color w:val="2D5A1B"/>
          <w:sz w:val="19"/>
          <w:szCs w:val="19"/>
        </w:rPr>
        <w:t xml:space="preserve">Les passages en bleu gras constituent des éléments nouveaux issus de l'analyse du dossier 2026, de l'arrêté SPW du 20/12/2024, du formulaire de recours 2024, de l'accord </w:t>
      </w:r>
      <w:proofErr w:type="spellStart"/>
      <w:r>
        <w:rPr>
          <w:i/>
          <w:iCs/>
          <w:color w:val="2D5A1B"/>
          <w:sz w:val="19"/>
          <w:szCs w:val="19"/>
        </w:rPr>
        <w:t>Eurobats</w:t>
      </w:r>
      <w:proofErr w:type="spellEnd"/>
      <w:r>
        <w:rPr>
          <w:i/>
          <w:iCs/>
          <w:color w:val="2D5A1B"/>
          <w:sz w:val="19"/>
          <w:szCs w:val="19"/>
        </w:rPr>
        <w:t xml:space="preserve"> et </w:t>
      </w:r>
      <w:r>
        <w:rPr>
          <w:i/>
          <w:iCs/>
          <w:color w:val="2D5A1B"/>
          <w:sz w:val="19"/>
          <w:szCs w:val="19"/>
        </w:rPr>
        <w:t>de la jurisprudence constitutionnelle pendante (affaire n°8303).</w:t>
      </w:r>
    </w:p>
    <w:p w14:paraId="23CA7EA2" w14:textId="77777777" w:rsidR="00301B3F" w:rsidRDefault="00301B3F">
      <w:pPr>
        <w:spacing w:before="60" w:after="60"/>
      </w:pPr>
    </w:p>
    <w:p w14:paraId="2A68C0B4" w14:textId="77777777" w:rsidR="00301B3F" w:rsidRDefault="004D5E5F">
      <w:pPr>
        <w:spacing w:before="60" w:after="80"/>
        <w:jc w:val="both"/>
      </w:pPr>
      <w:r>
        <w:t xml:space="preserve">Je soussigné, Éric Roisin, agriculteur exploitant des terres à </w:t>
      </w:r>
      <w:proofErr w:type="spellStart"/>
      <w:r>
        <w:t>Ragnies</w:t>
      </w:r>
      <w:proofErr w:type="spellEnd"/>
      <w:r>
        <w:t xml:space="preserve"> et </w:t>
      </w:r>
      <w:proofErr w:type="spellStart"/>
      <w:r>
        <w:t>Thuillies</w:t>
      </w:r>
      <w:proofErr w:type="spellEnd"/>
      <w:r>
        <w:t xml:space="preserve">, dépose la présente observation. J'ai été </w:t>
      </w:r>
      <w:proofErr w:type="spellStart"/>
      <w:r>
        <w:t>co</w:t>
      </w:r>
      <w:proofErr w:type="spellEnd"/>
      <w:r>
        <w:t>-requérant du recours de 2024 ayant abouti à l'arrêté de refus</w:t>
      </w:r>
      <w:r>
        <w:t xml:space="preserve"> du 20/12/2024, notamment sur des motifs liés directement à mon activité agricole.</w:t>
      </w:r>
    </w:p>
    <w:p w14:paraId="0FB5878B" w14:textId="77777777" w:rsidR="00301B3F" w:rsidRDefault="00301B3F">
      <w:pPr>
        <w:spacing w:before="60" w:after="60"/>
      </w:pPr>
    </w:p>
    <w:p w14:paraId="421DA448" w14:textId="77777777" w:rsidR="00301B3F" w:rsidRDefault="004D5E5F">
      <w:pPr>
        <w:pStyle w:val="Titre2"/>
        <w:spacing w:before="200" w:after="80"/>
      </w:pPr>
      <w:r>
        <w:rPr>
          <w:rFonts w:ascii="Arial" w:eastAsia="Arial" w:hAnsi="Arial" w:cs="Arial"/>
          <w:b/>
          <w:bCs/>
          <w:color w:val="1B3A5C"/>
          <w:sz w:val="23"/>
          <w:szCs w:val="23"/>
        </w:rPr>
        <w:t>1. Parcelles directement surplombées — Violation documentée par l'EIE 2026 elle-même</w:t>
      </w:r>
    </w:p>
    <w:p w14:paraId="06342E42" w14:textId="77777777" w:rsidR="00301B3F" w:rsidRDefault="00301B3F">
      <w:pPr>
        <w:pBdr>
          <w:bottom w:val="single" w:sz="6" w:space="0" w:color="1B3A5C"/>
        </w:pBdr>
        <w:spacing w:before="160" w:after="160"/>
      </w:pPr>
    </w:p>
    <w:p w14:paraId="1FBA89B1" w14:textId="77777777" w:rsidR="005E08E3" w:rsidRDefault="004D5E5F">
      <w:pPr>
        <w:spacing w:before="60" w:after="80"/>
        <w:jc w:val="both"/>
      </w:pPr>
      <w:r>
        <w:t xml:space="preserve">Je suis propriétaire de plusieurs parcelles agricoles dans le périmètre direct du projet. Le Tableau 11 de l'EIE 2026 (section 3.3.1.2) liste officiellement les parcelles surplombées par les pales de l'éolienne n°1. En croisant cette liste avec mes titres </w:t>
      </w:r>
      <w:r>
        <w:t xml:space="preserve">de propriété, les parcelles suivantes m'appartiennent et sont </w:t>
      </w:r>
      <w:r>
        <w:rPr>
          <w:b/>
          <w:bCs/>
          <w:color w:val="1F5C8B"/>
        </w:rPr>
        <w:t>officiellement surplombées par les pales d'E1 selon l'EIE 2026 elle-même :</w:t>
      </w:r>
      <w:r w:rsidR="002E7C15">
        <w:rPr>
          <w:b/>
          <w:bCs/>
          <w:color w:val="1F5C8B"/>
        </w:rPr>
        <w:t xml:space="preserve"> </w:t>
      </w:r>
      <w:r w:rsidR="002E7C15">
        <w:t xml:space="preserve"> section C 392B, 4</w:t>
      </w:r>
      <w:r>
        <w:t>03, 404, 405A, 410A, 411 et 416.</w:t>
      </w:r>
    </w:p>
    <w:p w14:paraId="1ADF5420" w14:textId="187370C9" w:rsidR="00301B3F" w:rsidRDefault="004D5E5F">
      <w:pPr>
        <w:spacing w:before="60" w:after="80"/>
        <w:jc w:val="both"/>
      </w:pPr>
      <w:r>
        <w:t xml:space="preserve"> De plus, la parcelle 392B</w:t>
      </w:r>
      <w:r w:rsidR="002E7C15">
        <w:t xml:space="preserve"> est à </w:t>
      </w:r>
      <w:r w:rsidR="002E7C15" w:rsidRPr="005E08E3">
        <w:rPr>
          <w:color w:val="FF0000"/>
        </w:rPr>
        <w:t>13 mètres</w:t>
      </w:r>
      <w:r w:rsidR="002E7C15">
        <w:t xml:space="preserve"> de l’éolienne n°1 ; ses pales (rayon de 81.50 m. pour le N163) la surplombent sur plus de </w:t>
      </w:r>
      <w:r w:rsidR="002E7C15" w:rsidRPr="005E08E3">
        <w:rPr>
          <w:color w:val="FF0000"/>
        </w:rPr>
        <w:t>68 mètres</w:t>
      </w:r>
      <w:r w:rsidR="002E7C15">
        <w:t>.</w:t>
      </w:r>
      <w:bookmarkStart w:id="0" w:name="_GoBack"/>
      <w:bookmarkEnd w:id="0"/>
    </w:p>
    <w:p w14:paraId="04AB014E" w14:textId="77777777" w:rsidR="00301B3F" w:rsidRDefault="00301B3F">
      <w:pPr>
        <w:spacing w:before="60" w:after="60"/>
      </w:pPr>
    </w:p>
    <w:p w14:paraId="2F5DD139" w14:textId="5ADC1892" w:rsidR="00301B3F" w:rsidRDefault="004D5E5F">
      <w:pPr>
        <w:spacing w:before="60" w:after="80"/>
        <w:jc w:val="both"/>
      </w:pPr>
      <w:r>
        <w:t xml:space="preserve">En droit belge, le </w:t>
      </w:r>
      <w:r>
        <w:rPr>
          <w:b/>
          <w:bCs/>
          <w:color w:val="1F5C8B"/>
        </w:rPr>
        <w:t>survol de pales d'éoliennes sans accord d</w:t>
      </w:r>
      <w:r>
        <w:rPr>
          <w:b/>
          <w:bCs/>
          <w:color w:val="1F5C8B"/>
        </w:rPr>
        <w:t>u propriétaire constitue une atteinte au droit de propriété</w:t>
      </w:r>
      <w:r>
        <w:t xml:space="preserve"> garanti par l'article 544 du Code civil, confirmé par la jurisprudence constante de la Cour de cassation. Le promoteur affirme dans son dossier (section 3.3.1.2) : 'Le promoteur garantit la maîtri</w:t>
      </w:r>
      <w:r>
        <w:t>se foncière nécessaire au projet' — sans produire aucune convention signée démontrant mon a</w:t>
      </w:r>
      <w:r w:rsidR="005E08E3">
        <w:t xml:space="preserve">ccord pour le survol de mes sept </w:t>
      </w:r>
      <w:r>
        <w:t>parcelles susmentionnées. Cette affirmation est inexacte et constitue une fausse déclaration dans un dossier de permis.</w:t>
      </w:r>
    </w:p>
    <w:p w14:paraId="3D3040EA" w14:textId="77777777" w:rsidR="00301B3F" w:rsidRDefault="004D5E5F" w:rsidP="004E6140">
      <w:pPr>
        <w:pBdr>
          <w:left w:val="single" w:sz="16" w:space="0" w:color="B22222"/>
        </w:pBdr>
        <w:shd w:val="clear" w:color="auto" w:fill="FDF0F0"/>
        <w:spacing w:before="100" w:after="100"/>
        <w:ind w:left="300"/>
        <w:jc w:val="both"/>
      </w:pPr>
      <w:r>
        <w:rPr>
          <w:b/>
          <w:bCs/>
          <w:color w:val="B22222"/>
        </w:rPr>
        <w:t>L'EIE 2026 (T</w:t>
      </w:r>
      <w:r>
        <w:rPr>
          <w:b/>
          <w:bCs/>
          <w:color w:val="B22222"/>
        </w:rPr>
        <w:t>ableau 11) reconnaît explicitement le surplomb des parcelles 392B, 403, 404, 405A, 410A, 411 et 416 appartenant au soussigné par les pales de l'éolienne n°1 — sans que son accord ait été obtenu. La maîtrise foncière n'est pas démontrée pour au moins 7 parc</w:t>
      </w:r>
      <w:r>
        <w:rPr>
          <w:b/>
          <w:bCs/>
          <w:color w:val="B22222"/>
        </w:rPr>
        <w:t>elles.</w:t>
      </w:r>
    </w:p>
    <w:p w14:paraId="7F37163D" w14:textId="060D17B4" w:rsidR="004E6140" w:rsidRDefault="004E6140">
      <w:pPr>
        <w:spacing w:before="60" w:after="60"/>
      </w:pPr>
    </w:p>
    <w:p w14:paraId="6D145BD4" w14:textId="77777777" w:rsidR="004E6140" w:rsidRDefault="004E6140">
      <w:pPr>
        <w:spacing w:before="60" w:after="60"/>
      </w:pPr>
    </w:p>
    <w:p w14:paraId="30CF995F" w14:textId="77777777" w:rsidR="004E6140" w:rsidRDefault="004E6140">
      <w:pPr>
        <w:spacing w:before="60" w:after="60"/>
      </w:pPr>
    </w:p>
    <w:p w14:paraId="3401B1B5" w14:textId="77777777" w:rsidR="004E6140" w:rsidRDefault="004E6140">
      <w:pPr>
        <w:spacing w:before="60" w:after="60"/>
      </w:pPr>
    </w:p>
    <w:p w14:paraId="1F43C5EF" w14:textId="77777777" w:rsidR="00301B3F" w:rsidRDefault="00301B3F">
      <w:pPr>
        <w:spacing w:before="60" w:after="60"/>
      </w:pPr>
    </w:p>
    <w:p w14:paraId="7F5D1C11" w14:textId="77777777" w:rsidR="00301B3F" w:rsidRDefault="004D5E5F">
      <w:pPr>
        <w:pStyle w:val="Titre2"/>
        <w:spacing w:before="200" w:after="80"/>
      </w:pPr>
      <w:r>
        <w:rPr>
          <w:rFonts w:ascii="Arial" w:eastAsia="Arial" w:hAnsi="Arial" w:cs="Arial"/>
          <w:b/>
          <w:bCs/>
          <w:color w:val="1B3A5C"/>
          <w:sz w:val="23"/>
          <w:szCs w:val="23"/>
        </w:rPr>
        <w:lastRenderedPageBreak/>
        <w:t>2. Réseau de drains agricoles — Destruction irrémédiable</w:t>
      </w:r>
    </w:p>
    <w:p w14:paraId="320AA665" w14:textId="77777777" w:rsidR="00301B3F" w:rsidRDefault="00301B3F">
      <w:pPr>
        <w:pBdr>
          <w:bottom w:val="single" w:sz="6" w:space="0" w:color="1B3A5C"/>
        </w:pBdr>
        <w:spacing w:before="160" w:after="160"/>
      </w:pPr>
    </w:p>
    <w:p w14:paraId="5D9E5206" w14:textId="77777777" w:rsidR="00301B3F" w:rsidRDefault="004D5E5F">
      <w:pPr>
        <w:spacing w:before="60" w:after="80"/>
        <w:jc w:val="both"/>
      </w:pPr>
      <w:r>
        <w:t xml:space="preserve">Mes parcelles sont parcourues d'un </w:t>
      </w:r>
      <w:r>
        <w:rPr>
          <w:b/>
          <w:bCs/>
          <w:color w:val="1F5C8B"/>
        </w:rPr>
        <w:t>réseau dense de drains agricoles non cartographiés à 80-120cm de profondeur, débit 15m³/heure.</w:t>
      </w:r>
      <w:r>
        <w:t xml:space="preserve"> Les fondations profondes (pieux de 25 à 30 mètres en cas</w:t>
      </w:r>
      <w:r>
        <w:t xml:space="preserve"> de sol insuffisamment portant, comme reconnu section 3.3.2.2 de l'EIE) détruiraient irrémédiablement ce réseau. Ce grief a été retenu par l'arrêté ministériel de refus du 20/12/2024. Il n'est pas corrigé dans le dossier 2026 — les essais géotechniques son</w:t>
      </w:r>
      <w:r>
        <w:t>t toujours prévus après l'obtention du permis.</w:t>
      </w:r>
    </w:p>
    <w:p w14:paraId="1DBD8826" w14:textId="77777777" w:rsidR="00301B3F" w:rsidRDefault="00301B3F">
      <w:pPr>
        <w:spacing w:before="60" w:after="60"/>
      </w:pPr>
    </w:p>
    <w:p w14:paraId="0B1CD6BA" w14:textId="77777777" w:rsidR="00301B3F" w:rsidRDefault="004D5E5F">
      <w:pPr>
        <w:pStyle w:val="Titre2"/>
        <w:spacing w:before="200" w:after="80"/>
      </w:pPr>
      <w:r>
        <w:rPr>
          <w:rFonts w:ascii="Arial" w:eastAsia="Arial" w:hAnsi="Arial" w:cs="Arial"/>
          <w:b/>
          <w:bCs/>
          <w:color w:val="1B3A5C"/>
          <w:sz w:val="23"/>
          <w:szCs w:val="23"/>
        </w:rPr>
        <w:t>3. Ruissellement et PAC — Contradiction interne au projet</w:t>
      </w:r>
    </w:p>
    <w:p w14:paraId="6C664488" w14:textId="77777777" w:rsidR="00301B3F" w:rsidRDefault="00301B3F">
      <w:pPr>
        <w:pBdr>
          <w:bottom w:val="single" w:sz="6" w:space="0" w:color="1B3A5C"/>
        </w:pBdr>
        <w:spacing w:before="160" w:after="160"/>
      </w:pPr>
    </w:p>
    <w:p w14:paraId="2A6000A1" w14:textId="77777777" w:rsidR="00301B3F" w:rsidRDefault="004D5E5F">
      <w:pPr>
        <w:spacing w:before="60" w:after="80"/>
        <w:jc w:val="both"/>
      </w:pPr>
      <w:r>
        <w:t>Mes terres en pente font l'objet de restrictions au titre de la future Politique Agricole Commune (PAC) interdisant les cultures de printemps (pommes</w:t>
      </w:r>
      <w:r>
        <w:t xml:space="preserve"> de terre, maïs) pour des raisons d'érosion. Or l'EIE 2026 prévoit la construction d'un chemin empierré imperméabilisé de 4,5m longeant mes parcelles — ce qui </w:t>
      </w:r>
      <w:r>
        <w:rPr>
          <w:b/>
          <w:bCs/>
          <w:color w:val="1F5C8B"/>
        </w:rPr>
        <w:t>aggravera précisément le ruissellement et l'érosion que la PAC cherche à prévenir.</w:t>
      </w:r>
      <w:r>
        <w:t xml:space="preserve"> L'EIE ne trait</w:t>
      </w:r>
      <w:r>
        <w:t>e pas cette contradiction. Par ailleurs, l'aménagement du chemin vicinal n°14 (rue de la Roquette) — qui longe le Ry des Rys — par des convois de 165 tonnes causera des dégâts à cette voirie dont la largeur effective actuelle est d'environ 2,5m, sans garan</w:t>
      </w:r>
      <w:r>
        <w:t>tie financière documentée dans le PU.</w:t>
      </w:r>
    </w:p>
    <w:p w14:paraId="4004F7A1" w14:textId="77777777" w:rsidR="00301B3F" w:rsidRDefault="00301B3F">
      <w:pPr>
        <w:spacing w:before="60" w:after="60"/>
      </w:pPr>
    </w:p>
    <w:p w14:paraId="199CBED9" w14:textId="77777777" w:rsidR="00301B3F" w:rsidRDefault="004D5E5F">
      <w:pPr>
        <w:pStyle w:val="Titre2"/>
        <w:spacing w:before="200" w:after="80"/>
      </w:pPr>
      <w:r>
        <w:rPr>
          <w:rFonts w:ascii="Arial" w:eastAsia="Arial" w:hAnsi="Arial" w:cs="Arial"/>
          <w:b/>
          <w:bCs/>
          <w:color w:val="1B3A5C"/>
          <w:sz w:val="23"/>
          <w:szCs w:val="23"/>
        </w:rPr>
        <w:t>4. PFAS — Contamination des terres agricoles — Absence totale d'évaluation</w:t>
      </w:r>
    </w:p>
    <w:p w14:paraId="2D5238C4" w14:textId="77777777" w:rsidR="00301B3F" w:rsidRDefault="00301B3F">
      <w:pPr>
        <w:pBdr>
          <w:bottom w:val="single" w:sz="6" w:space="0" w:color="1B3A5C"/>
        </w:pBdr>
        <w:spacing w:before="160" w:after="160"/>
      </w:pPr>
    </w:p>
    <w:p w14:paraId="465877F1" w14:textId="77777777" w:rsidR="00301B3F" w:rsidRDefault="004D5E5F">
      <w:pPr>
        <w:spacing w:before="60" w:after="80"/>
        <w:jc w:val="both"/>
      </w:pPr>
      <w:r>
        <w:t xml:space="preserve">L'érosion et l'entretien des pales libèrent des </w:t>
      </w:r>
      <w:r>
        <w:rPr>
          <w:b/>
          <w:bCs/>
          <w:color w:val="1F5C8B"/>
        </w:rPr>
        <w:t xml:space="preserve">substances </w:t>
      </w:r>
      <w:proofErr w:type="spellStart"/>
      <w:r>
        <w:rPr>
          <w:b/>
          <w:bCs/>
          <w:color w:val="1F5C8B"/>
        </w:rPr>
        <w:t>perfluoroalkylées</w:t>
      </w:r>
      <w:proofErr w:type="spellEnd"/>
      <w:r>
        <w:rPr>
          <w:b/>
          <w:bCs/>
          <w:color w:val="1F5C8B"/>
        </w:rPr>
        <w:t xml:space="preserve"> (PFAS)</w:t>
      </w:r>
      <w:r>
        <w:t xml:space="preserve"> qui persistent des décennies dans les sols agricoles. L'EIE 2026 ne contient aucune mention des PFAS ni aucune évaluation de ce risque — en violation du règlement REACH (CE 1907/2006) et du principe de précaution (art. D.9-1 du CDE). Mes terres sont utili</w:t>
      </w:r>
      <w:r>
        <w:t>sées pour des cultures alimentaires destinées à la consommation humaine. Pour établir un état zéro documenté avant tout démarrage de chantier, je procèderai à l'analyse de mes terres par un laboratoire accrédité BELAC. Cette démarche préventive me permettr</w:t>
      </w:r>
      <w:r>
        <w:t>a, le cas échéant, de démontrer le lien causal entre la mise en service du parc et toute contamination ultérieure, conformément au décret wallon du 5 décembre 2008 relatif à la gestion des sols. La responsabilité principale incombera à l'exploitant (Elawan</w:t>
      </w:r>
      <w:r>
        <w:t xml:space="preserve"> Energy Wallonie SA) au titre du principe pollueur-payeur.</w:t>
      </w:r>
    </w:p>
    <w:p w14:paraId="2A86C288" w14:textId="72809CC9" w:rsidR="00301B3F" w:rsidRDefault="004D5E5F" w:rsidP="005E08E3">
      <w:pPr>
        <w:pBdr>
          <w:left w:val="single" w:sz="16" w:space="0" w:color="B22222"/>
        </w:pBdr>
        <w:shd w:val="clear" w:color="auto" w:fill="FDF0F0"/>
        <w:spacing w:before="100" w:after="100"/>
        <w:ind w:left="300"/>
        <w:jc w:val="both"/>
      </w:pPr>
      <w:r>
        <w:rPr>
          <w:b/>
          <w:bCs/>
          <w:color w:val="B22222"/>
        </w:rPr>
        <w:t xml:space="preserve">L'EIE 2026 ne contient aucune évaluation du risque PFAS lié à l'érosion et l'entretien des pales éoliennes sur des terres agricoles destinées à la consommation alimentaire — violation du règlement </w:t>
      </w:r>
      <w:r>
        <w:rPr>
          <w:b/>
          <w:bCs/>
          <w:color w:val="B22222"/>
        </w:rPr>
        <w:t>REACH et du principe de précaution (art. D.9-1 CDE).</w:t>
      </w:r>
    </w:p>
    <w:p w14:paraId="5A5C3E9D" w14:textId="21A27190" w:rsidR="004E6140" w:rsidRDefault="004E6140">
      <w:pPr>
        <w:spacing w:before="60" w:after="60"/>
      </w:pPr>
    </w:p>
    <w:p w14:paraId="6FEB735B" w14:textId="77777777" w:rsidR="005E08E3" w:rsidRDefault="005E08E3">
      <w:pPr>
        <w:spacing w:before="60" w:after="60"/>
      </w:pPr>
    </w:p>
    <w:p w14:paraId="2E841245" w14:textId="77777777" w:rsidR="004E6140" w:rsidRDefault="004E6140">
      <w:pPr>
        <w:spacing w:before="60" w:after="60"/>
      </w:pPr>
    </w:p>
    <w:p w14:paraId="02F32F13" w14:textId="77777777" w:rsidR="00301B3F" w:rsidRDefault="004D5E5F">
      <w:pPr>
        <w:pStyle w:val="Titre2"/>
        <w:spacing w:before="200" w:after="80"/>
      </w:pPr>
      <w:r>
        <w:rPr>
          <w:rFonts w:ascii="Arial" w:eastAsia="Arial" w:hAnsi="Arial" w:cs="Arial"/>
          <w:b/>
          <w:bCs/>
          <w:color w:val="1B3A5C"/>
          <w:sz w:val="23"/>
          <w:szCs w:val="23"/>
        </w:rPr>
        <w:t>4. Turbulences et pesticides — Risque sanitaire validé en 202</w:t>
      </w:r>
      <w:r>
        <w:rPr>
          <w:rFonts w:ascii="Arial" w:eastAsia="Arial" w:hAnsi="Arial" w:cs="Arial"/>
          <w:b/>
          <w:bCs/>
          <w:color w:val="1B3A5C"/>
          <w:sz w:val="23"/>
          <w:szCs w:val="23"/>
        </w:rPr>
        <w:t>4</w:t>
      </w:r>
    </w:p>
    <w:p w14:paraId="46618E12" w14:textId="77777777" w:rsidR="00301B3F" w:rsidRDefault="00301B3F">
      <w:pPr>
        <w:pBdr>
          <w:bottom w:val="single" w:sz="6" w:space="0" w:color="1B3A5C"/>
        </w:pBdr>
        <w:spacing w:before="160" w:after="160"/>
      </w:pPr>
    </w:p>
    <w:p w14:paraId="4BF38CBE" w14:textId="113A85EB" w:rsidR="00301B3F" w:rsidRDefault="004D5E5F" w:rsidP="005E08E3">
      <w:pPr>
        <w:spacing w:before="60" w:after="80"/>
        <w:jc w:val="both"/>
      </w:pPr>
      <w:r>
        <w:t xml:space="preserve">Les turbulences générées </w:t>
      </w:r>
      <w:r>
        <w:rPr>
          <w:b/>
          <w:bCs/>
          <w:color w:val="1F5C8B"/>
        </w:rPr>
        <w:t>maintiennent pesticides, fongicides et herbicides en suspension sur des distances accrues.</w:t>
      </w:r>
      <w:r>
        <w:t xml:space="preserve"> Ce risque a été validé par l'arrêté de refus de 2024. Il est reconduit </w:t>
      </w:r>
      <w:r w:rsidR="005E08E3">
        <w:t>sans correction dans l'EIE 2026</w:t>
      </w:r>
    </w:p>
    <w:p w14:paraId="0D304331" w14:textId="77777777" w:rsidR="005E08E3" w:rsidRDefault="005E08E3" w:rsidP="005E08E3">
      <w:pPr>
        <w:spacing w:before="60" w:after="80"/>
        <w:jc w:val="both"/>
      </w:pPr>
    </w:p>
    <w:p w14:paraId="6E070562" w14:textId="77777777" w:rsidR="00301B3F" w:rsidRDefault="00301B3F">
      <w:pPr>
        <w:spacing w:before="60" w:after="60"/>
      </w:pPr>
    </w:p>
    <w:p w14:paraId="1E6668D4" w14:textId="77777777" w:rsidR="00301B3F" w:rsidRDefault="004D5E5F">
      <w:pPr>
        <w:pStyle w:val="Titre2"/>
        <w:spacing w:before="200" w:after="80"/>
      </w:pPr>
      <w:r>
        <w:rPr>
          <w:rFonts w:ascii="Arial" w:eastAsia="Arial" w:hAnsi="Arial" w:cs="Arial"/>
          <w:b/>
          <w:bCs/>
          <w:color w:val="2D5A1B"/>
          <w:sz w:val="23"/>
          <w:szCs w:val="23"/>
        </w:rPr>
        <w:lastRenderedPageBreak/>
        <w:t>Question préjudicielle n°8303 — Fondement légal constitutionnellemen</w:t>
      </w:r>
      <w:r>
        <w:rPr>
          <w:rFonts w:ascii="Arial" w:eastAsia="Arial" w:hAnsi="Arial" w:cs="Arial"/>
          <w:b/>
          <w:bCs/>
          <w:color w:val="2D5A1B"/>
          <w:sz w:val="23"/>
          <w:szCs w:val="23"/>
        </w:rPr>
        <w:t>t incertain</w:t>
      </w:r>
    </w:p>
    <w:p w14:paraId="59D059F7" w14:textId="77777777" w:rsidR="00301B3F" w:rsidRDefault="00301B3F">
      <w:pPr>
        <w:pBdr>
          <w:bottom w:val="single" w:sz="6" w:space="0" w:color="1B3A5C"/>
        </w:pBdr>
        <w:spacing w:before="160" w:after="160"/>
      </w:pPr>
    </w:p>
    <w:p w14:paraId="2918477A" w14:textId="77777777" w:rsidR="00301B3F" w:rsidRDefault="004D5E5F">
      <w:pPr>
        <w:spacing w:before="60" w:after="80"/>
        <w:jc w:val="both"/>
      </w:pPr>
      <w:r>
        <w:t>Par arrêt du 13 septembre 2023 (Ville de Bastogne, n°253.285), le Conseil d'État a renvoyé à la Cour constitutionnelle la question de savoir si l'</w:t>
      </w:r>
      <w:r>
        <w:rPr>
          <w:b/>
          <w:bCs/>
          <w:color w:val="1F5C8B"/>
        </w:rPr>
        <w:t>article D.II.36, §2 du CoDT</w:t>
      </w:r>
      <w:r>
        <w:t xml:space="preserve"> — qui permet l'implantation d'éoliennes en zone agricole à proximité </w:t>
      </w:r>
      <w:r>
        <w:t>d'une infrastructure de communication — viole l'</w:t>
      </w:r>
      <w:r>
        <w:rPr>
          <w:b/>
          <w:bCs/>
          <w:color w:val="1F5C8B"/>
        </w:rPr>
        <w:t>article 23 de la Constitution</w:t>
      </w:r>
      <w:r>
        <w:t xml:space="preserve"> (droit à un environnement sain) et le principe de </w:t>
      </w:r>
      <w:proofErr w:type="spellStart"/>
      <w:r>
        <w:t>standstill</w:t>
      </w:r>
      <w:proofErr w:type="spellEnd"/>
      <w:r>
        <w:t>, dès lors que sous l'ancien CWATUPE une telle implantation requérait une dérogation formelle au plan de secteur.</w:t>
      </w:r>
    </w:p>
    <w:p w14:paraId="237AD8A2" w14:textId="77777777" w:rsidR="00301B3F" w:rsidRDefault="00301B3F">
      <w:pPr>
        <w:spacing w:before="60" w:after="60"/>
      </w:pPr>
    </w:p>
    <w:p w14:paraId="3AD57301" w14:textId="77777777" w:rsidR="00301B3F" w:rsidRDefault="004D5E5F">
      <w:pPr>
        <w:spacing w:before="60" w:after="80"/>
        <w:jc w:val="both"/>
      </w:pPr>
      <w:r>
        <w:t xml:space="preserve">Cette affaire (n°8303) était </w:t>
      </w:r>
      <w:r>
        <w:rPr>
          <w:b/>
          <w:bCs/>
          <w:color w:val="1F5C8B"/>
        </w:rPr>
        <w:t>toujours pendante</w:t>
      </w:r>
      <w:r>
        <w:t xml:space="preserve"> devant la Cour constitutionnelle lors du dépôt de la présente demande. Si la Cour répond positivement, le fondement légal de tout permis éolien délivré en zone agricole sous le CoDT sera remis en cause. L'auto</w:t>
      </w:r>
      <w:r>
        <w:t>rité compétente doit en tenir compte dans sa décision motivée et ne peut l'ignorer.</w:t>
      </w:r>
    </w:p>
    <w:p w14:paraId="29A9B106" w14:textId="77777777" w:rsidR="00301B3F" w:rsidRDefault="004D5E5F" w:rsidP="004E6140">
      <w:pPr>
        <w:pBdr>
          <w:left w:val="single" w:sz="16" w:space="0" w:color="1B3A5C"/>
        </w:pBdr>
        <w:shd w:val="clear" w:color="auto" w:fill="EEF5FF"/>
        <w:spacing w:before="100" w:after="100"/>
        <w:ind w:left="300"/>
        <w:jc w:val="both"/>
      </w:pPr>
      <w:r>
        <w:rPr>
          <w:b/>
          <w:bCs/>
          <w:color w:val="1B3A5C"/>
        </w:rPr>
        <w:t>Question préjudicielle n°8303 (Cour constitutionnelle, affaire pendante) : constitutionnalité de l'implantation en zone agricole sous le CoDT juridiquement incertaine. Tout</w:t>
      </w:r>
      <w:r>
        <w:rPr>
          <w:b/>
          <w:bCs/>
          <w:color w:val="1B3A5C"/>
        </w:rPr>
        <w:t>e décision d'octroi sera exposée à un risque d'annulation rétroactive.</w:t>
      </w:r>
    </w:p>
    <w:p w14:paraId="2AEC0930" w14:textId="77777777" w:rsidR="00301B3F" w:rsidRDefault="00301B3F">
      <w:pPr>
        <w:pBdr>
          <w:bottom w:val="single" w:sz="6" w:space="0" w:color="1B3A5C"/>
        </w:pBdr>
        <w:spacing w:before="160" w:after="160"/>
      </w:pPr>
    </w:p>
    <w:p w14:paraId="3C2946AD" w14:textId="77777777" w:rsidR="00301B3F" w:rsidRDefault="004D5E5F">
      <w:pPr>
        <w:spacing w:before="60" w:after="80"/>
        <w:jc w:val="both"/>
      </w:pPr>
      <w:r>
        <w:rPr>
          <w:b/>
          <w:bCs/>
        </w:rPr>
        <w:t>Pour l'ensemble de ces motifs, je demande formellement le REFUS du permis unique BEL012622.02.</w:t>
      </w:r>
    </w:p>
    <w:p w14:paraId="16893A0C" w14:textId="77777777" w:rsidR="00301B3F" w:rsidRDefault="00301B3F">
      <w:pPr>
        <w:spacing w:before="60" w:after="60"/>
      </w:pPr>
    </w:p>
    <w:p w14:paraId="29849C67" w14:textId="77777777" w:rsidR="00301B3F" w:rsidRDefault="004D5E5F">
      <w:pPr>
        <w:spacing w:before="60" w:after="80"/>
        <w:jc w:val="both"/>
      </w:pPr>
      <w:r>
        <w:rPr>
          <w:i/>
          <w:iCs/>
        </w:rPr>
        <w:t>Veuillez agréer, Madame la Bourgmestre, Mesdames et Messieurs les Échevins, l'expression</w:t>
      </w:r>
      <w:r>
        <w:rPr>
          <w:i/>
          <w:iCs/>
        </w:rPr>
        <w:t xml:space="preserve"> de mes salutations respectueuses.</w:t>
      </w:r>
    </w:p>
    <w:p w14:paraId="5F70DE2D" w14:textId="77777777" w:rsidR="00301B3F" w:rsidRDefault="00301B3F">
      <w:pPr>
        <w:spacing w:before="60" w:after="60"/>
      </w:pPr>
    </w:p>
    <w:p w14:paraId="08085E7C" w14:textId="77777777" w:rsidR="00301B3F" w:rsidRDefault="00301B3F">
      <w:pPr>
        <w:spacing w:before="60" w:after="60"/>
      </w:pPr>
    </w:p>
    <w:p w14:paraId="441D715F" w14:textId="77777777" w:rsidR="00301B3F" w:rsidRDefault="004D5E5F">
      <w:pPr>
        <w:spacing w:before="60" w:after="80"/>
      </w:pPr>
      <w:r>
        <w:rPr>
          <w:b/>
          <w:bCs/>
        </w:rPr>
        <w:t>Éric ROISIN</w:t>
      </w:r>
    </w:p>
    <w:p w14:paraId="38931770" w14:textId="77777777" w:rsidR="00301B3F" w:rsidRDefault="00301B3F">
      <w:pPr>
        <w:spacing w:before="60" w:after="60"/>
      </w:pPr>
    </w:p>
    <w:p w14:paraId="7DF6F9ED" w14:textId="77777777" w:rsidR="00301B3F" w:rsidRDefault="00301B3F">
      <w:pPr>
        <w:spacing w:before="60" w:after="60"/>
      </w:pPr>
    </w:p>
    <w:p w14:paraId="06DEFBED" w14:textId="77777777" w:rsidR="00301B3F" w:rsidRDefault="00301B3F">
      <w:pPr>
        <w:spacing w:before="60" w:after="60"/>
      </w:pPr>
    </w:p>
    <w:p w14:paraId="33736C45" w14:textId="77777777" w:rsidR="00301B3F" w:rsidRDefault="004D5E5F">
      <w:pPr>
        <w:pBdr>
          <w:top w:val="single" w:sz="4" w:space="0" w:color="333333"/>
        </w:pBdr>
        <w:spacing w:before="400" w:after="40"/>
      </w:pPr>
      <w:r>
        <w:rPr>
          <w:rFonts w:ascii="Arial" w:eastAsia="Arial" w:hAnsi="Arial" w:cs="Arial"/>
          <w:i/>
          <w:iCs/>
          <w:color w:val="666666"/>
          <w:sz w:val="17"/>
          <w:szCs w:val="17"/>
        </w:rPr>
        <w:t>Signature</w:t>
      </w:r>
    </w:p>
    <w:sectPr w:rsidR="00301B3F">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79CCE" w14:textId="77777777" w:rsidR="004D5E5F" w:rsidRDefault="004D5E5F">
      <w:r>
        <w:separator/>
      </w:r>
    </w:p>
  </w:endnote>
  <w:endnote w:type="continuationSeparator" w:id="0">
    <w:p w14:paraId="1DF45F32" w14:textId="77777777" w:rsidR="004D5E5F" w:rsidRDefault="004D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E0F2" w14:textId="0C427904" w:rsidR="00301B3F" w:rsidRDefault="004D5E5F">
    <w:pPr>
      <w:pBdr>
        <w:top w:val="single" w:sz="6" w:space="0" w:color="1B3A5C"/>
      </w:pBdr>
      <w:tabs>
        <w:tab w:val="right" w:pos="9026"/>
      </w:tabs>
      <w:spacing w:before="80"/>
    </w:pPr>
    <w:r>
      <w:rPr>
        <w:rFonts w:ascii="Arial" w:eastAsia="Arial" w:hAnsi="Arial" w:cs="Arial"/>
        <w:i/>
        <w:iCs/>
        <w:color w:val="666666"/>
        <w:sz w:val="16"/>
        <w:szCs w:val="16"/>
      </w:rPr>
      <w:t xml:space="preserve">Observations enquête publique — Permis unique BEL012622.02 — Parc éolien </w:t>
    </w:r>
    <w:proofErr w:type="spellStart"/>
    <w:r>
      <w:rPr>
        <w:rFonts w:ascii="Arial" w:eastAsia="Arial" w:hAnsi="Arial" w:cs="Arial"/>
        <w:i/>
        <w:iCs/>
        <w:color w:val="666666"/>
        <w:sz w:val="16"/>
        <w:szCs w:val="16"/>
      </w:rPr>
      <w:t>Ragnies</w:t>
    </w:r>
    <w:proofErr w:type="spellEnd"/>
    <w:r>
      <w:rPr>
        <w:rFonts w:ascii="Arial" w:eastAsia="Arial" w:hAnsi="Arial" w:cs="Arial"/>
        <w:i/>
        <w:iCs/>
        <w:color w:val="666666"/>
        <w:sz w:val="16"/>
        <w:szCs w:val="16"/>
      </w:rPr>
      <w:t xml:space="preserve"> 2</w:t>
    </w:r>
    <w:r>
      <w:rPr>
        <w:sz w:val="16"/>
        <w:szCs w:val="16"/>
      </w:rPr>
      <w:tab/>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526E7C">
      <w:rPr>
        <w:rFonts w:ascii="Arial" w:eastAsia="Arial" w:hAnsi="Arial" w:cs="Arial"/>
        <w:noProof/>
        <w:color w:val="666666"/>
        <w:sz w:val="16"/>
        <w:szCs w:val="16"/>
      </w:rPr>
      <w:t>3</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20101" w14:textId="77777777" w:rsidR="004D5E5F" w:rsidRDefault="004D5E5F">
      <w:r>
        <w:separator/>
      </w:r>
    </w:p>
  </w:footnote>
  <w:footnote w:type="continuationSeparator" w:id="0">
    <w:p w14:paraId="2DB86ED2" w14:textId="77777777" w:rsidR="004D5E5F" w:rsidRDefault="004D5E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AAAB" w14:textId="77777777" w:rsidR="00301B3F" w:rsidRDefault="004D5E5F">
    <w:pPr>
      <w:pBdr>
        <w:bottom w:val="single" w:sz="6" w:space="0" w:color="1B3A5C"/>
      </w:pBdr>
      <w:tabs>
        <w:tab w:val="right" w:pos="9026"/>
      </w:tabs>
      <w:spacing w:after="80"/>
    </w:pPr>
    <w:r>
      <w:rPr>
        <w:rFonts w:ascii="Arial" w:eastAsia="Arial" w:hAnsi="Arial" w:cs="Arial"/>
        <w:b/>
        <w:bCs/>
        <w:color w:val="1B3A5C"/>
        <w:sz w:val="17"/>
        <w:szCs w:val="17"/>
      </w:rPr>
      <w:t xml:space="preserve">Éric ROISIN — Agriculteur — </w:t>
    </w:r>
    <w:proofErr w:type="spellStart"/>
    <w:r>
      <w:rPr>
        <w:rFonts w:ascii="Arial" w:eastAsia="Arial" w:hAnsi="Arial" w:cs="Arial"/>
        <w:b/>
        <w:bCs/>
        <w:color w:val="1B3A5C"/>
        <w:sz w:val="17"/>
        <w:szCs w:val="17"/>
      </w:rPr>
      <w:t>Ragnies</w:t>
    </w:r>
    <w:proofErr w:type="spellEnd"/>
    <w:r>
      <w:rPr>
        <w:rFonts w:ascii="Arial" w:eastAsia="Arial" w:hAnsi="Arial" w:cs="Arial"/>
        <w:b/>
        <w:bCs/>
        <w:color w:val="1B3A5C"/>
        <w:sz w:val="17"/>
        <w:szCs w:val="17"/>
      </w:rPr>
      <w:t xml:space="preserve"> / </w:t>
    </w:r>
    <w:proofErr w:type="spellStart"/>
    <w:r>
      <w:rPr>
        <w:rFonts w:ascii="Arial" w:eastAsia="Arial" w:hAnsi="Arial" w:cs="Arial"/>
        <w:b/>
        <w:bCs/>
        <w:color w:val="1B3A5C"/>
        <w:sz w:val="17"/>
        <w:szCs w:val="17"/>
      </w:rPr>
      <w:t>Thuillies</w:t>
    </w:r>
    <w:proofErr w:type="spellEnd"/>
    <w:r>
      <w:rPr>
        <w:rFonts w:ascii="Arial" w:eastAsia="Arial" w:hAnsi="Arial" w:cs="Arial"/>
        <w:i/>
        <w:iCs/>
        <w:color w:val="666666"/>
        <w:sz w:val="16"/>
        <w:szCs w:val="16"/>
      </w:rPr>
      <w:tab/>
      <w:t xml:space="preserve">Observations EP — BEL012622.02 — </w:t>
    </w:r>
    <w:proofErr w:type="spellStart"/>
    <w:r>
      <w:rPr>
        <w:rFonts w:ascii="Arial" w:eastAsia="Arial" w:hAnsi="Arial" w:cs="Arial"/>
        <w:i/>
        <w:iCs/>
        <w:color w:val="666666"/>
        <w:sz w:val="16"/>
        <w:szCs w:val="16"/>
      </w:rPr>
      <w:t>Ragnies</w:t>
    </w:r>
    <w:proofErr w:type="spellEnd"/>
    <w:r>
      <w:rPr>
        <w:rFonts w:ascii="Arial" w:eastAsia="Arial" w:hAnsi="Arial" w:cs="Arial"/>
        <w:i/>
        <w:iCs/>
        <w:color w:val="666666"/>
        <w:sz w:val="16"/>
        <w:szCs w:val="16"/>
      </w:rPr>
      <w:t xml:space="preserve"> 2 — 2026 v2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85718"/>
    <w:multiLevelType w:val="hybridMultilevel"/>
    <w:tmpl w:val="E3D2B496"/>
    <w:lvl w:ilvl="0" w:tplc="84CE34B8">
      <w:start w:val="1"/>
      <w:numFmt w:val="bullet"/>
      <w:lvlText w:val="●"/>
      <w:lvlJc w:val="left"/>
      <w:pPr>
        <w:ind w:left="720" w:hanging="360"/>
      </w:pPr>
    </w:lvl>
    <w:lvl w:ilvl="1" w:tplc="F28816B2">
      <w:start w:val="1"/>
      <w:numFmt w:val="bullet"/>
      <w:lvlText w:val="○"/>
      <w:lvlJc w:val="left"/>
      <w:pPr>
        <w:ind w:left="1440" w:hanging="360"/>
      </w:pPr>
    </w:lvl>
    <w:lvl w:ilvl="2" w:tplc="F90AA462">
      <w:start w:val="1"/>
      <w:numFmt w:val="bullet"/>
      <w:lvlText w:val="■"/>
      <w:lvlJc w:val="left"/>
      <w:pPr>
        <w:ind w:left="2160" w:hanging="360"/>
      </w:pPr>
    </w:lvl>
    <w:lvl w:ilvl="3" w:tplc="D66EF0E4">
      <w:start w:val="1"/>
      <w:numFmt w:val="bullet"/>
      <w:lvlText w:val="●"/>
      <w:lvlJc w:val="left"/>
      <w:pPr>
        <w:ind w:left="2880" w:hanging="360"/>
      </w:pPr>
    </w:lvl>
    <w:lvl w:ilvl="4" w:tplc="FA8205CA">
      <w:start w:val="1"/>
      <w:numFmt w:val="bullet"/>
      <w:lvlText w:val="○"/>
      <w:lvlJc w:val="left"/>
      <w:pPr>
        <w:ind w:left="3600" w:hanging="360"/>
      </w:pPr>
    </w:lvl>
    <w:lvl w:ilvl="5" w:tplc="78CC977A">
      <w:start w:val="1"/>
      <w:numFmt w:val="bullet"/>
      <w:lvlText w:val="■"/>
      <w:lvlJc w:val="left"/>
      <w:pPr>
        <w:ind w:left="4320" w:hanging="360"/>
      </w:pPr>
    </w:lvl>
    <w:lvl w:ilvl="6" w:tplc="CE58894A">
      <w:start w:val="1"/>
      <w:numFmt w:val="bullet"/>
      <w:lvlText w:val="●"/>
      <w:lvlJc w:val="left"/>
      <w:pPr>
        <w:ind w:left="5040" w:hanging="360"/>
      </w:pPr>
    </w:lvl>
    <w:lvl w:ilvl="7" w:tplc="5F129CD0">
      <w:start w:val="1"/>
      <w:numFmt w:val="bullet"/>
      <w:lvlText w:val="●"/>
      <w:lvlJc w:val="left"/>
      <w:pPr>
        <w:ind w:left="5760" w:hanging="360"/>
      </w:pPr>
    </w:lvl>
    <w:lvl w:ilvl="8" w:tplc="6C78D29E">
      <w:start w:val="1"/>
      <w:numFmt w:val="bullet"/>
      <w:lvlText w:val="●"/>
      <w:lvlJc w:val="left"/>
      <w:pPr>
        <w:ind w:left="6480" w:hanging="360"/>
      </w:pPr>
    </w:lvl>
  </w:abstractNum>
  <w:abstractNum w:abstractNumId="1" w15:restartNumberingAfterBreak="0">
    <w:nsid w:val="686839E6"/>
    <w:multiLevelType w:val="hybridMultilevel"/>
    <w:tmpl w:val="CC1491C6"/>
    <w:lvl w:ilvl="0" w:tplc="E04E8DB6">
      <w:start w:val="1"/>
      <w:numFmt w:val="bullet"/>
      <w:lvlText w:val="•"/>
      <w:lvlJc w:val="left"/>
      <w:pPr>
        <w:ind w:left="600" w:hanging="300"/>
      </w:pPr>
    </w:lvl>
    <w:lvl w:ilvl="1" w:tplc="1D2EF1FE">
      <w:numFmt w:val="decimal"/>
      <w:lvlText w:val=""/>
      <w:lvlJc w:val="left"/>
    </w:lvl>
    <w:lvl w:ilvl="2" w:tplc="49165802">
      <w:numFmt w:val="decimal"/>
      <w:lvlText w:val=""/>
      <w:lvlJc w:val="left"/>
    </w:lvl>
    <w:lvl w:ilvl="3" w:tplc="9EFE18FC">
      <w:numFmt w:val="decimal"/>
      <w:lvlText w:val=""/>
      <w:lvlJc w:val="left"/>
    </w:lvl>
    <w:lvl w:ilvl="4" w:tplc="F7A0719C">
      <w:numFmt w:val="decimal"/>
      <w:lvlText w:val=""/>
      <w:lvlJc w:val="left"/>
    </w:lvl>
    <w:lvl w:ilvl="5" w:tplc="EE8C0D6C">
      <w:numFmt w:val="decimal"/>
      <w:lvlText w:val=""/>
      <w:lvlJc w:val="left"/>
    </w:lvl>
    <w:lvl w:ilvl="6" w:tplc="490CB55E">
      <w:numFmt w:val="decimal"/>
      <w:lvlText w:val=""/>
      <w:lvlJc w:val="left"/>
    </w:lvl>
    <w:lvl w:ilvl="7" w:tplc="5EDA5074">
      <w:numFmt w:val="decimal"/>
      <w:lvlText w:val=""/>
      <w:lvlJc w:val="left"/>
    </w:lvl>
    <w:lvl w:ilvl="8" w:tplc="0400B9B6">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3F"/>
    <w:rsid w:val="002E7C15"/>
    <w:rsid w:val="00301B3F"/>
    <w:rsid w:val="004D5E5F"/>
    <w:rsid w:val="004E488F"/>
    <w:rsid w:val="004E6140"/>
    <w:rsid w:val="00526E7C"/>
    <w:rsid w:val="005E08E3"/>
    <w:rsid w:val="005F65BE"/>
    <w:rsid w:val="007631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CD92"/>
  <w15:docId w15:val="{ED5D1503-4DD6-48E1-99E6-8D00BE95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2"/>
        <w:szCs w:val="22"/>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5787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Infrabel</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Jérémie lejuste</cp:lastModifiedBy>
  <cp:revision>3</cp:revision>
  <dcterms:created xsi:type="dcterms:W3CDTF">2026-05-01T07:33:00Z</dcterms:created>
  <dcterms:modified xsi:type="dcterms:W3CDTF">2026-05-04T10:07:00Z</dcterms:modified>
</cp:coreProperties>
</file>